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https://spgalkow.bip.wikom.pl/strona/przedmiot-dzialalnosci-i-kompetencje</w:t>
            </w:r>
          </w:p>
          <w:p>
            <w:pPr/>
            <w:r>
              <w:rPr/>
              <w:t xml:space="preserve">https://spgalkow.bip.wikom.pl/wpis/ogloszone-zostalo-postepowanie-w-trybie-podstawowym-bez-negocjacji-z-dnia-01-sierpnia-2024-roku-na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https://spgalkow.bip.wikom.pl/strona/strona-glowna</w:t>
            </w:r>
          </w:p>
          <w:p>
            <w:pPr/>
            <w:r>
              <w:rPr/>
              <w:t xml:space="preserve">https://spgalkow.bip.wikom.pl/strona/zasady-naboru</w:t>
            </w:r>
          </w:p>
          <w:p>
            <w:pPr/>
            <w:r>
              <w:rPr/>
              <w:t xml:space="preserve">https://spgalkow.bip.wikom.pl/strona/epuap</w:t>
            </w:r>
          </w:p>
          <w:p>
            <w:pPr/>
            <w:r>
              <w:rPr/>
              <w:t xml:space="preserve">https://spgalkow.bip.wikom.pl/strona/epuap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2026-03-30T08:47:29+00:00</dcterms:created>
  <dcterms:modified xsi:type="dcterms:W3CDTF">2026-03-30T08:47:29+00:00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